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9"/>
            <w:tcBorders>
              <w:tl2br w:val="nil"/>
              <w:tr2bl w:val="nil"/>
            </w:tcBorders>
            <w:vAlign w:val="center"/>
          </w:tcPr>
          <w:p w14:paraId="5609971C">
            <w:pPr>
              <w:spacing w:line="240" w:lineRule="exact"/>
              <w:ind w:firstLine="0" w:firstLineChars="0"/>
              <w:jc w:val="left"/>
              <w:rPr>
                <w:rFonts w:hint="eastAsia" w:ascii="仿宋" w:hAnsi="仿宋" w:eastAsia="仿宋" w:cs="仿宋"/>
                <w:color w:val="000000"/>
                <w:sz w:val="21"/>
                <w:szCs w:val="15"/>
              </w:rPr>
            </w:pPr>
            <w:r>
              <w:rPr>
                <w:rFonts w:hint="eastAsia" w:ascii="方正仿宋_GB2312"/>
                <w:color w:val="000000"/>
                <w:sz w:val="21"/>
                <w:szCs w:val="21"/>
              </w:rPr>
              <w:t>汽车媒体测评中体验式传播对消费者购车意愿的驱动机制研究</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5"/>
            <w:tcBorders>
              <w:tl2br w:val="nil"/>
              <w:tr2bl w:val="nil"/>
            </w:tcBorders>
            <w:vAlign w:val="center"/>
          </w:tcPr>
          <w:p w14:paraId="648297C0">
            <w:pPr>
              <w:spacing w:line="240" w:lineRule="exact"/>
              <w:ind w:firstLine="0" w:firstLineChars="0"/>
              <w:rPr>
                <w:rFonts w:hint="eastAsia" w:ascii="仿宋" w:hAnsi="仿宋" w:eastAsia="仿宋" w:cs="仿宋"/>
                <w:bCs w:val="0"/>
                <w:color w:val="000000"/>
                <w:sz w:val="21"/>
                <w:szCs w:val="15"/>
                <w:lang w:val="en-US" w:eastAsia="zh-CN"/>
              </w:rPr>
            </w:pPr>
            <w:r>
              <w:rPr>
                <w:rFonts w:hint="eastAsia" w:ascii="仿宋" w:hAnsi="仿宋" w:eastAsia="仿宋" w:cs="仿宋"/>
                <w:bCs w:val="0"/>
                <w:color w:val="000000"/>
                <w:sz w:val="21"/>
                <w:szCs w:val="15"/>
                <w:lang w:val="en-US" w:eastAsia="zh-CN"/>
              </w:rPr>
              <w:t>新闻研究</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9"/>
            <w:vMerge w:val="restart"/>
            <w:tcBorders>
              <w:tl2br w:val="nil"/>
              <w:tr2bl w:val="nil"/>
            </w:tcBorders>
            <w:vAlign w:val="center"/>
          </w:tcPr>
          <w:p w14:paraId="78038E3E">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bCs w:val="0"/>
                <w:color w:val="000000"/>
                <w:sz w:val="21"/>
                <w:szCs w:val="15"/>
                <w:lang w:val="en-US" w:eastAsia="zh-CN"/>
              </w:rPr>
              <w:t>4855</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5"/>
            <w:tcBorders>
              <w:tl2br w:val="nil"/>
              <w:tr2bl w:val="nil"/>
            </w:tcBorders>
            <w:vAlign w:val="center"/>
          </w:tcPr>
          <w:p w14:paraId="0EF9348B">
            <w:pPr>
              <w:spacing w:line="240" w:lineRule="exact"/>
              <w:ind w:firstLine="0" w:firstLineChars="0"/>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新闻研究</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9"/>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5"/>
            <w:tcBorders>
              <w:tl2br w:val="nil"/>
              <w:tr2bl w:val="nil"/>
            </w:tcBorders>
            <w:vAlign w:val="center"/>
          </w:tcPr>
          <w:p w14:paraId="3AAC3CF0">
            <w:pPr>
              <w:spacing w:line="240" w:lineRule="exact"/>
              <w:ind w:firstLine="0" w:firstLineChars="0"/>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9"/>
            <w:tcBorders>
              <w:tl2br w:val="nil"/>
              <w:tr2bl w:val="nil"/>
            </w:tcBorders>
            <w:vAlign w:val="center"/>
          </w:tcPr>
          <w:p w14:paraId="7453BB5E">
            <w:pPr>
              <w:spacing w:line="240" w:lineRule="exact"/>
              <w:ind w:firstLine="0" w:firstLineChars="0"/>
              <w:rPr>
                <w:rFonts w:hint="eastAsia" w:ascii="华文中宋" w:hAnsi="华文中宋" w:eastAsia="华文中宋"/>
                <w:color w:val="000000"/>
                <w:sz w:val="21"/>
                <w:szCs w:val="21"/>
                <w:lang w:eastAsia="zh-CN"/>
              </w:rPr>
            </w:pPr>
            <w:r>
              <w:rPr>
                <w:rFonts w:hint="eastAsia" w:ascii="仿宋" w:hAnsi="仿宋" w:eastAsia="仿宋" w:cs="仿宋"/>
                <w:bCs w:val="0"/>
                <w:color w:val="000000"/>
                <w:sz w:val="21"/>
                <w:szCs w:val="15"/>
                <w:lang w:val="en-US" w:eastAsia="zh-CN"/>
              </w:rPr>
              <w:t>曹梦婵</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5"/>
            <w:tcBorders>
              <w:tl2br w:val="nil"/>
              <w:tr2bl w:val="nil"/>
            </w:tcBorders>
            <w:vAlign w:val="center"/>
          </w:tcPr>
          <w:p w14:paraId="21870789">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无</w:t>
            </w:r>
            <w:bookmarkStart w:id="0" w:name="_GoBack"/>
            <w:bookmarkEnd w:id="0"/>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9"/>
            <w:tcBorders>
              <w:tl2br w:val="nil"/>
              <w:tr2bl w:val="nil"/>
            </w:tcBorders>
            <w:vAlign w:val="center"/>
          </w:tcPr>
          <w:p w14:paraId="4A51632B">
            <w:pPr>
              <w:spacing w:line="260" w:lineRule="exact"/>
              <w:ind w:firstLine="0"/>
              <w:rPr>
                <w:rFonts w:hint="eastAsia" w:ascii="方正仿宋_GB2312" w:hAnsi="仿宋" w:eastAsia="方正仿宋_GB2312"/>
                <w:color w:val="000000"/>
                <w:szCs w:val="21"/>
                <w:lang w:eastAsia="zh-CN"/>
              </w:rPr>
            </w:pPr>
            <w:r>
              <w:rPr>
                <w:rFonts w:hint="eastAsia" w:ascii="仿宋" w:hAnsi="仿宋" w:eastAsia="仿宋" w:cs="仿宋"/>
                <w:bCs w:val="0"/>
                <w:color w:val="000000"/>
                <w:spacing w:val="-6"/>
                <w:sz w:val="21"/>
                <w:szCs w:val="15"/>
                <w:lang w:val="en-US" w:eastAsia="zh-CN"/>
              </w:rPr>
              <w:t>中国汽车新闻工作者协会</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5"/>
            <w:tcBorders>
              <w:tl2br w:val="nil"/>
              <w:tr2bl w:val="nil"/>
            </w:tcBorders>
            <w:vAlign w:val="center"/>
          </w:tcPr>
          <w:p w14:paraId="1B3ABACD">
            <w:pPr>
              <w:spacing w:line="240" w:lineRule="exact"/>
              <w:ind w:firstLine="0" w:firstLineChars="0"/>
              <w:rPr>
                <w:rFonts w:hint="eastAsia" w:ascii="仿宋" w:hAnsi="仿宋" w:eastAsia="仿宋" w:cs="仿宋"/>
                <w:color w:val="000000"/>
                <w:sz w:val="21"/>
                <w:szCs w:val="15"/>
                <w:highlight w:val="none"/>
                <w:lang w:eastAsia="zh-CN"/>
              </w:rPr>
            </w:pPr>
            <w:r>
              <w:rPr>
                <w:rFonts w:hint="eastAsia" w:ascii="仿宋" w:hAnsi="仿宋" w:eastAsia="仿宋" w:cs="仿宋"/>
                <w:bCs w:val="0"/>
                <w:color w:val="000000"/>
                <w:sz w:val="21"/>
                <w:szCs w:val="15"/>
                <w:lang w:eastAsia="zh-CN"/>
              </w:rPr>
              <w:t>《</w:t>
            </w:r>
            <w:r>
              <w:rPr>
                <w:rFonts w:hint="eastAsia" w:ascii="仿宋" w:hAnsi="仿宋" w:eastAsia="仿宋" w:cs="仿宋"/>
                <w:bCs w:val="0"/>
                <w:color w:val="000000"/>
                <w:sz w:val="21"/>
                <w:szCs w:val="15"/>
                <w:lang w:val="en-US" w:eastAsia="zh-CN"/>
              </w:rPr>
              <w:t>消费与品牌传播</w:t>
            </w:r>
            <w:r>
              <w:rPr>
                <w:rFonts w:hint="eastAsia" w:ascii="仿宋" w:hAnsi="仿宋" w:eastAsia="仿宋" w:cs="仿宋"/>
                <w:bCs w:val="0"/>
                <w:color w:val="000000"/>
                <w:sz w:val="21"/>
                <w:szCs w:val="15"/>
                <w:lang w:eastAsia="zh-CN"/>
              </w:rPr>
              <w:t>》</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5" w:hRule="exact"/>
        </w:trPr>
        <w:tc>
          <w:tcPr>
            <w:tcW w:w="1504" w:type="dxa"/>
            <w:gridSpan w:val="3"/>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7"/>
            <w:tcBorders>
              <w:tl2br w:val="nil"/>
              <w:tr2bl w:val="nil"/>
            </w:tcBorders>
            <w:vAlign w:val="center"/>
          </w:tcPr>
          <w:p w14:paraId="06FC5C4D">
            <w:pPr>
              <w:spacing w:line="260" w:lineRule="exact"/>
              <w:rPr>
                <w:rFonts w:ascii="方正仿宋_GB2312" w:hAnsi="仿宋"/>
                <w:color w:val="000000"/>
                <w:szCs w:val="21"/>
              </w:rPr>
            </w:pP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6"/>
            <w:tcBorders>
              <w:tl2br w:val="nil"/>
              <w:tr2bl w:val="nil"/>
            </w:tcBorders>
            <w:vAlign w:val="center"/>
          </w:tcPr>
          <w:p w14:paraId="7A66C554">
            <w:pPr>
              <w:spacing w:line="260" w:lineRule="exact"/>
              <w:rPr>
                <w:rFonts w:hint="default" w:ascii="方正仿宋_GB2312" w:hAnsi="仿宋" w:eastAsia="仿宋"/>
                <w:color w:val="000000"/>
                <w:szCs w:val="21"/>
                <w:lang w:val="en-US" w:eastAsia="zh-CN"/>
              </w:rPr>
            </w:pPr>
            <w:r>
              <w:rPr>
                <w:rFonts w:hint="eastAsia" w:ascii="仿宋" w:hAnsi="仿宋" w:eastAsia="仿宋" w:cs="仿宋"/>
                <w:color w:val="000000"/>
                <w:sz w:val="21"/>
                <w:szCs w:val="15"/>
                <w:lang w:val="en-US" w:eastAsia="zh-CN"/>
              </w:rPr>
              <w:t>2025</w:t>
            </w:r>
            <w:r>
              <w:rPr>
                <w:rFonts w:hint="eastAsia" w:ascii="仿宋" w:hAnsi="仿宋" w:eastAsia="仿宋" w:cs="仿宋"/>
                <w:color w:val="000000"/>
                <w:sz w:val="21"/>
                <w:szCs w:val="15"/>
              </w:rPr>
              <w:t>年度</w:t>
            </w:r>
            <w:r>
              <w:rPr>
                <w:rFonts w:hint="eastAsia" w:ascii="仿宋" w:hAnsi="仿宋" w:eastAsia="仿宋" w:cs="仿宋"/>
                <w:color w:val="000000"/>
                <w:sz w:val="21"/>
                <w:szCs w:val="15"/>
                <w:lang w:val="en-US" w:eastAsia="zh-CN"/>
              </w:rPr>
              <w:t>第9期</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hRule="atLeast"/>
        </w:trPr>
        <w:tc>
          <w:tcPr>
            <w:tcW w:w="1504" w:type="dxa"/>
            <w:gridSpan w:val="3"/>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9"/>
            <w:tcBorders>
              <w:tl2br w:val="nil"/>
              <w:tr2bl w:val="nil"/>
            </w:tcBorders>
            <w:vAlign w:val="center"/>
          </w:tcPr>
          <w:p w14:paraId="78E7ED31">
            <w:pPr>
              <w:spacing w:line="260" w:lineRule="exact"/>
              <w:rPr>
                <w:rFonts w:hint="eastAsia" w:ascii="华文中宋" w:hAnsi="华文中宋" w:eastAsia="华文中宋"/>
                <w:color w:val="000000"/>
                <w:sz w:val="28"/>
              </w:rPr>
            </w:pPr>
          </w:p>
        </w:tc>
        <w:tc>
          <w:tcPr>
            <w:tcW w:w="1742" w:type="dxa"/>
            <w:gridSpan w:val="4"/>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1"/>
                <w:szCs w:val="21"/>
                <w:lang w:val="en-US"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0"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16"/>
            <w:tcBorders>
              <w:tl2br w:val="nil"/>
              <w:tr2bl w:val="nil"/>
            </w:tcBorders>
            <w:vAlign w:val="center"/>
          </w:tcPr>
          <w:p w14:paraId="6D1BA4A2">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该论文以当前汽车媒体测评面临的消费者需求升级为现实背景，聚焦“体验式传播”这一新兴传播方式，系统研究其对消费者购车意愿的驱动机制。论文坚持以马克思主义新闻观为指导，遵循新闻传播规律，立足媒体融合发展的时代要求，深入探讨汽车媒体如何通过沉浸式、互动式体验传播提升传播效果、引导理性消费、服务经济社会发展。</w:t>
            </w:r>
          </w:p>
          <w:p w14:paraId="35D628A3">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论文采用文献梳理与案例分析相结合的方法，以小鹏P5媒体试驾活动为典型样本，从认知影响、情感共鸣、信任建立、口碑扩散等维度，论证了体验式传播从单向信息传递向多维度互动共创转变的传播规律。研究结果显示，体验式传播可显著提升品牌认知度（增长19.2%）、媒体覆盖量（增长65.1%）和消费者购车意愿（增长17.2%），为汽车媒体创新测评形式、增强传播力与公信力提供了数据支撑。</w:t>
            </w:r>
          </w:p>
          <w:p w14:paraId="5D632F3F">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采编过程中，作者深入汽车媒体收集案例，并运用传播学、心理学等多学科理论进行交叉分析，确保论据可靠、论证充分。该文理论联系实际紧密，对于推动新闻媒体更好地服务行业用户、引导健康消费文化、践行习近平文化思想中关于“以人民为中心”的工作导向具有现实指导意义。</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5"/>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11"/>
            <w:tcBorders>
              <w:tl2br w:val="nil"/>
              <w:tr2bl w:val="nil"/>
            </w:tcBorders>
            <w:vAlign w:val="center"/>
          </w:tcPr>
          <w:p w14:paraId="10EAC8E2">
            <w:pPr>
              <w:spacing w:line="280" w:lineRule="exact"/>
              <w:rPr>
                <w:rFonts w:hint="eastAsia" w:ascii="仿宋" w:hAnsi="仿宋" w:eastAsia="仿宋"/>
                <w:color w:val="000000"/>
                <w:szCs w:val="21"/>
              </w:rPr>
            </w:pPr>
            <w:r>
              <w:rPr>
                <w:rFonts w:hint="eastAsia" w:ascii="仿宋" w:hAnsi="仿宋" w:eastAsia="仿宋"/>
                <w:color w:val="000000"/>
                <w:sz w:val="21"/>
                <w:szCs w:val="21"/>
              </w:rPr>
              <w:t>https://www.cqvip.com/doc/journal/1000004411644?sign=ccffdcc1cf4d0c31437a214d8aca4dd58234a3b36ba9f05097e74a21c8f52a7b&amp;expireTime=1792999099863&amp;resourceId=1000004411644&amp;type=1</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5"/>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gridSpan w:val="2"/>
            <w:tcBorders>
              <w:tl2br w:val="nil"/>
              <w:tr2bl w:val="nil"/>
            </w:tcBorders>
            <w:shd w:val="clear" w:color="auto" w:fill="auto"/>
            <w:vAlign w:val="center"/>
          </w:tcPr>
          <w:p w14:paraId="769BF1DC">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10000+</w:t>
            </w:r>
          </w:p>
        </w:tc>
        <w:tc>
          <w:tcPr>
            <w:tcW w:w="1005" w:type="dxa"/>
            <w:gridSpan w:val="2"/>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4"/>
            <w:tcBorders>
              <w:tl2br w:val="nil"/>
              <w:tr2bl w:val="nil"/>
            </w:tcBorders>
            <w:vAlign w:val="center"/>
          </w:tcPr>
          <w:p w14:paraId="5BE3E5F6">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点赞、转发、评论总和</w:t>
            </w:r>
          </w:p>
        </w:tc>
        <w:tc>
          <w:tcPr>
            <w:tcW w:w="1122" w:type="dxa"/>
            <w:gridSpan w:val="2"/>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0" w:hRule="exact"/>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16"/>
            <w:tcBorders>
              <w:tl2br w:val="nil"/>
              <w:tr2bl w:val="nil"/>
            </w:tcBorders>
            <w:vAlign w:val="center"/>
          </w:tcPr>
          <w:p w14:paraId="1FE495BA">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该论文紧扣媒体融合背景下行业媒体转型升级的现实需求，以汽车媒体测评为切口，深入探究体验式传播的运作机制与传播效果。论文立论正确，观点鲜明，论证充分，案例详实，数据可靠。其创新之处在于：1、理论联系实际紧密，通过小鹏P5真实活动案例验证传播效果，避免空泛推演；2、符合马克思主义新闻观的受众本位、实事求是原则，强调真实体验与互动共创，有助于提升媒体的引导力与公信力；3、服务新闻实践价值突出，提出的动静结合、场景化设置、互动传播等路径对汽车媒体及行业类媒体的内容创新具有直接借鉴意义。综上，该论文观点正确、论据可靠、论证充分，符合中国新闻奖“新闻研究”类作品的评选标准，同意推荐参评。</w:t>
            </w:r>
          </w:p>
          <w:p w14:paraId="31875D0E">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11E6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jc w:val="center"/>
        </w:trPr>
        <w:tc>
          <w:tcPr>
            <w:tcW w:w="9813" w:type="dxa"/>
            <w:gridSpan w:val="17"/>
            <w:tcBorders>
              <w:tl2br w:val="nil"/>
              <w:tr2bl w:val="nil"/>
            </w:tcBorders>
            <w:noWrap w:val="0"/>
            <w:vAlign w:val="center"/>
          </w:tcPr>
          <w:p w14:paraId="427B2E60">
            <w:pPr>
              <w:widowControl w:val="0"/>
              <w:spacing w:line="360" w:lineRule="exact"/>
              <w:jc w:val="center"/>
              <w:rPr>
                <w:rFonts w:hint="eastAsia" w:ascii="华文中宋" w:hAnsi="华文中宋" w:eastAsia="华文中宋"/>
                <w:sz w:val="28"/>
                <w:szCs w:val="28"/>
              </w:rPr>
            </w:pPr>
            <w:r>
              <w:rPr>
                <w:rFonts w:hint="eastAsia" w:ascii="黑体" w:hAnsi="黑体" w:eastAsia="黑体" w:cs="黑体"/>
                <w:sz w:val="28"/>
                <w:szCs w:val="28"/>
              </w:rPr>
              <w:t>以下仅自荐作品填报</w:t>
            </w:r>
          </w:p>
        </w:tc>
      </w:tr>
      <w:tr w14:paraId="5C45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exact"/>
          <w:jc w:val="center"/>
        </w:trPr>
        <w:tc>
          <w:tcPr>
            <w:tcW w:w="2133" w:type="dxa"/>
            <w:gridSpan w:val="5"/>
            <w:tcBorders>
              <w:tl2br w:val="nil"/>
              <w:tr2bl w:val="nil"/>
            </w:tcBorders>
            <w:noWrap w:val="0"/>
            <w:vAlign w:val="center"/>
          </w:tcPr>
          <w:p w14:paraId="2AE45DD7">
            <w:pPr>
              <w:widowControl w:val="0"/>
              <w:spacing w:line="320" w:lineRule="exact"/>
              <w:jc w:val="center"/>
              <w:rPr>
                <w:rFonts w:hint="eastAsia" w:ascii="华文中宋" w:hAnsi="华文中宋" w:eastAsia="华文中宋" w:cs="华文中宋"/>
                <w:color w:val="000000"/>
                <w:sz w:val="28"/>
                <w:lang w:bidi="ar"/>
              </w:rPr>
            </w:pPr>
            <w:r>
              <w:rPr>
                <w:rFonts w:hint="eastAsia" w:ascii="华文中宋" w:hAnsi="华文中宋" w:eastAsia="华文中宋" w:cs="华文中宋"/>
                <w:color w:val="000000"/>
                <w:sz w:val="28"/>
                <w:lang w:bidi="ar"/>
              </w:rPr>
              <w:t>自荐作品所</w:t>
            </w:r>
          </w:p>
          <w:p w14:paraId="03BC2190">
            <w:pPr>
              <w:widowControl w:val="0"/>
              <w:spacing w:line="320" w:lineRule="exact"/>
              <w:jc w:val="center"/>
              <w:rPr>
                <w:rFonts w:ascii="华文中宋" w:hAnsi="华文中宋" w:eastAsia="华文中宋"/>
                <w:sz w:val="28"/>
                <w:szCs w:val="28"/>
              </w:rPr>
            </w:pPr>
            <w:r>
              <w:rPr>
                <w:rFonts w:hint="eastAsia" w:ascii="华文中宋" w:hAnsi="华文中宋" w:eastAsia="华文中宋" w:cs="华文中宋"/>
                <w:color w:val="000000"/>
                <w:sz w:val="28"/>
                <w:lang w:bidi="ar"/>
              </w:rPr>
              <w:t>获奖项名称</w:t>
            </w:r>
          </w:p>
        </w:tc>
        <w:tc>
          <w:tcPr>
            <w:tcW w:w="7680" w:type="dxa"/>
            <w:gridSpan w:val="12"/>
            <w:tcBorders>
              <w:tl2br w:val="nil"/>
              <w:tr2bl w:val="nil"/>
            </w:tcBorders>
            <w:noWrap w:val="0"/>
            <w:vAlign w:val="center"/>
          </w:tcPr>
          <w:p w14:paraId="4F63C3D5">
            <w:pPr>
              <w:widowControl w:val="0"/>
              <w:spacing w:line="240" w:lineRule="exact"/>
              <w:jc w:val="both"/>
              <w:rPr>
                <w:rFonts w:ascii="华文中宋" w:hAnsi="华文中宋" w:eastAsia="华文中宋"/>
                <w:sz w:val="28"/>
                <w:szCs w:val="28"/>
              </w:rPr>
            </w:pPr>
          </w:p>
        </w:tc>
      </w:tr>
      <w:tr w14:paraId="1961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1240" w:type="dxa"/>
            <w:gridSpan w:val="2"/>
            <w:vMerge w:val="restart"/>
            <w:tcBorders>
              <w:tl2br w:val="nil"/>
              <w:tr2bl w:val="nil"/>
            </w:tcBorders>
            <w:noWrap w:val="0"/>
            <w:vAlign w:val="center"/>
          </w:tcPr>
          <w:p w14:paraId="4721EA63">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推</w:t>
            </w:r>
          </w:p>
          <w:p w14:paraId="4AD22A4F">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荐</w:t>
            </w:r>
          </w:p>
          <w:p w14:paraId="11685204">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人</w:t>
            </w:r>
          </w:p>
        </w:tc>
        <w:tc>
          <w:tcPr>
            <w:tcW w:w="893" w:type="dxa"/>
            <w:gridSpan w:val="3"/>
            <w:tcBorders>
              <w:tl2br w:val="nil"/>
              <w:tr2bl w:val="nil"/>
            </w:tcBorders>
            <w:noWrap w:val="0"/>
            <w:vAlign w:val="center"/>
          </w:tcPr>
          <w:p w14:paraId="104D06A6">
            <w:pPr>
              <w:widowControl w:val="0"/>
              <w:spacing w:line="32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1F64E220">
            <w:pPr>
              <w:widowControl w:val="0"/>
              <w:spacing w:line="240" w:lineRule="exact"/>
              <w:jc w:val="center"/>
              <w:rPr>
                <w:rFonts w:hint="eastAsia" w:ascii="华文中宋" w:hAnsi="华文中宋" w:eastAsia="华文中宋"/>
                <w:sz w:val="28"/>
                <w:szCs w:val="28"/>
              </w:rPr>
            </w:pPr>
          </w:p>
        </w:tc>
        <w:tc>
          <w:tcPr>
            <w:tcW w:w="1176" w:type="dxa"/>
            <w:gridSpan w:val="2"/>
            <w:tcBorders>
              <w:tl2br w:val="nil"/>
              <w:tr2bl w:val="nil"/>
            </w:tcBorders>
            <w:noWrap w:val="0"/>
            <w:vAlign w:val="center"/>
          </w:tcPr>
          <w:p w14:paraId="5CA19914">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587A5B47">
            <w:pPr>
              <w:widowControl w:val="0"/>
              <w:spacing w:line="240" w:lineRule="exact"/>
              <w:jc w:val="center"/>
              <w:rPr>
                <w:rFonts w:hint="eastAsia" w:ascii="华文中宋" w:hAnsi="华文中宋" w:eastAsia="华文中宋"/>
                <w:sz w:val="28"/>
                <w:szCs w:val="28"/>
              </w:rPr>
            </w:pPr>
          </w:p>
        </w:tc>
        <w:tc>
          <w:tcPr>
            <w:tcW w:w="874" w:type="dxa"/>
            <w:gridSpan w:val="2"/>
            <w:tcBorders>
              <w:tl2br w:val="nil"/>
              <w:tr2bl w:val="nil"/>
            </w:tcBorders>
            <w:noWrap w:val="0"/>
            <w:vAlign w:val="center"/>
          </w:tcPr>
          <w:p w14:paraId="6F7360F0">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2624E1CB">
            <w:pPr>
              <w:widowControl w:val="0"/>
              <w:spacing w:line="240" w:lineRule="exact"/>
              <w:jc w:val="both"/>
              <w:rPr>
                <w:rFonts w:hint="eastAsia" w:ascii="华文中宋" w:hAnsi="华文中宋" w:eastAsia="华文中宋"/>
                <w:sz w:val="28"/>
                <w:szCs w:val="28"/>
              </w:rPr>
            </w:pPr>
          </w:p>
        </w:tc>
      </w:tr>
      <w:tr w14:paraId="549D3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1240" w:type="dxa"/>
            <w:gridSpan w:val="2"/>
            <w:vMerge w:val="continue"/>
            <w:tcBorders>
              <w:tl2br w:val="nil"/>
              <w:tr2bl w:val="nil"/>
            </w:tcBorders>
            <w:noWrap w:val="0"/>
            <w:vAlign w:val="center"/>
          </w:tcPr>
          <w:p w14:paraId="6E16D187">
            <w:pPr>
              <w:widowControl w:val="0"/>
              <w:autoSpaceDE w:val="0"/>
              <w:autoSpaceDN w:val="0"/>
              <w:adjustRightInd w:val="0"/>
              <w:spacing w:line="240" w:lineRule="exact"/>
              <w:jc w:val="both"/>
            </w:pPr>
          </w:p>
        </w:tc>
        <w:tc>
          <w:tcPr>
            <w:tcW w:w="893" w:type="dxa"/>
            <w:gridSpan w:val="3"/>
            <w:tcBorders>
              <w:tl2br w:val="nil"/>
              <w:tr2bl w:val="nil"/>
            </w:tcBorders>
            <w:noWrap w:val="0"/>
            <w:vAlign w:val="center"/>
          </w:tcPr>
          <w:p w14:paraId="7F47AA15">
            <w:pPr>
              <w:widowControl w:val="0"/>
              <w:spacing w:line="320" w:lineRule="exact"/>
              <w:jc w:val="cente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74FA93DB">
            <w:pPr>
              <w:widowControl w:val="0"/>
              <w:spacing w:line="340" w:lineRule="exact"/>
              <w:jc w:val="center"/>
            </w:pPr>
          </w:p>
        </w:tc>
        <w:tc>
          <w:tcPr>
            <w:tcW w:w="1176" w:type="dxa"/>
            <w:gridSpan w:val="2"/>
            <w:tcBorders>
              <w:tl2br w:val="nil"/>
              <w:tr2bl w:val="nil"/>
            </w:tcBorders>
            <w:noWrap w:val="0"/>
            <w:vAlign w:val="center"/>
          </w:tcPr>
          <w:p w14:paraId="6F2C4C95">
            <w:pPr>
              <w:widowControl w:val="0"/>
              <w:spacing w:line="340" w:lineRule="exact"/>
              <w:jc w:val="cente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404BD75A">
            <w:pPr>
              <w:widowControl w:val="0"/>
              <w:spacing w:line="340" w:lineRule="exact"/>
              <w:jc w:val="center"/>
            </w:pPr>
          </w:p>
        </w:tc>
        <w:tc>
          <w:tcPr>
            <w:tcW w:w="874" w:type="dxa"/>
            <w:gridSpan w:val="2"/>
            <w:tcBorders>
              <w:tl2br w:val="nil"/>
              <w:tr2bl w:val="nil"/>
            </w:tcBorders>
            <w:noWrap w:val="0"/>
            <w:vAlign w:val="center"/>
          </w:tcPr>
          <w:p w14:paraId="041A6DC3">
            <w:pPr>
              <w:widowControl w:val="0"/>
              <w:spacing w:line="340" w:lineRule="exact"/>
              <w:jc w:val="cente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204C0D23">
            <w:pPr>
              <w:widowControl w:val="0"/>
              <w:spacing w:line="240" w:lineRule="exact"/>
              <w:jc w:val="both"/>
              <w:rPr>
                <w:rFonts w:hint="eastAsia" w:ascii="华文中宋" w:hAnsi="华文中宋" w:eastAsia="华文中宋"/>
                <w:sz w:val="28"/>
                <w:szCs w:val="28"/>
              </w:rPr>
            </w:pPr>
          </w:p>
        </w:tc>
      </w:tr>
      <w:tr w14:paraId="6EDB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exact"/>
          <w:jc w:val="center"/>
        </w:trPr>
        <w:tc>
          <w:tcPr>
            <w:tcW w:w="2133" w:type="dxa"/>
            <w:gridSpan w:val="5"/>
            <w:tcBorders>
              <w:tl2br w:val="nil"/>
              <w:tr2bl w:val="nil"/>
            </w:tcBorders>
            <w:vAlign w:val="center"/>
          </w:tcPr>
          <w:p w14:paraId="7952907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自荐人</w:t>
            </w:r>
          </w:p>
          <w:p w14:paraId="15B6A31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368" w:type="dxa"/>
            <w:gridSpan w:val="2"/>
            <w:tcBorders>
              <w:tl2br w:val="nil"/>
              <w:tr2bl w:val="nil"/>
            </w:tcBorders>
            <w:vAlign w:val="center"/>
          </w:tcPr>
          <w:p w14:paraId="707F3332">
            <w:pPr>
              <w:spacing w:line="340" w:lineRule="exact"/>
              <w:jc w:val="center"/>
              <w:rPr>
                <w:rFonts w:hint="eastAsia" w:ascii="华文中宋" w:hAnsi="华文中宋" w:eastAsia="华文中宋"/>
                <w:color w:val="000000"/>
                <w:sz w:val="28"/>
              </w:rPr>
            </w:pPr>
          </w:p>
        </w:tc>
        <w:tc>
          <w:tcPr>
            <w:tcW w:w="1176" w:type="dxa"/>
            <w:gridSpan w:val="2"/>
            <w:tcBorders>
              <w:tl2br w:val="nil"/>
              <w:tr2bl w:val="nil"/>
            </w:tcBorders>
            <w:vAlign w:val="center"/>
          </w:tcPr>
          <w:p w14:paraId="34F4E207">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手机</w:t>
            </w:r>
          </w:p>
        </w:tc>
        <w:tc>
          <w:tcPr>
            <w:tcW w:w="2059" w:type="dxa"/>
            <w:gridSpan w:val="4"/>
            <w:tcBorders>
              <w:tl2br w:val="nil"/>
              <w:tr2bl w:val="nil"/>
            </w:tcBorders>
            <w:vAlign w:val="center"/>
          </w:tcPr>
          <w:p w14:paraId="45C1F4E3">
            <w:pPr>
              <w:spacing w:line="340" w:lineRule="exact"/>
              <w:jc w:val="center"/>
              <w:rPr>
                <w:rFonts w:hint="eastAsia" w:ascii="华文中宋" w:hAnsi="华文中宋" w:eastAsia="华文中宋"/>
                <w:color w:val="000000"/>
                <w:sz w:val="28"/>
              </w:rPr>
            </w:pPr>
          </w:p>
        </w:tc>
        <w:tc>
          <w:tcPr>
            <w:tcW w:w="874" w:type="dxa"/>
            <w:gridSpan w:val="2"/>
            <w:tcBorders>
              <w:tl2br w:val="nil"/>
              <w:tr2bl w:val="nil"/>
            </w:tcBorders>
            <w:vAlign w:val="center"/>
          </w:tcPr>
          <w:p w14:paraId="0374530E">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2203" w:type="dxa"/>
            <w:gridSpan w:val="2"/>
            <w:tcBorders>
              <w:tl2br w:val="nil"/>
              <w:tr2bl w:val="nil"/>
            </w:tcBorders>
            <w:vAlign w:val="center"/>
          </w:tcPr>
          <w:p w14:paraId="450EA839">
            <w:pPr>
              <w:spacing w:line="240" w:lineRule="exact"/>
              <w:rPr>
                <w:rFonts w:hint="eastAsia" w:ascii="华文中宋" w:hAnsi="华文中宋" w:eastAsia="华文中宋"/>
                <w:color w:val="000000"/>
                <w:sz w:val="28"/>
              </w:rPr>
            </w:pPr>
          </w:p>
        </w:tc>
      </w:tr>
      <w:tr w14:paraId="580E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6" w:hRule="exact"/>
          <w:jc w:val="center"/>
        </w:trPr>
        <w:tc>
          <w:tcPr>
            <w:tcW w:w="1647" w:type="dxa"/>
            <w:gridSpan w:val="4"/>
            <w:tcBorders>
              <w:tl2br w:val="nil"/>
              <w:tr2bl w:val="nil"/>
            </w:tcBorders>
            <w:vAlign w:val="center"/>
          </w:tcPr>
          <w:p w14:paraId="0A68BB6A">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审核</w:t>
            </w:r>
          </w:p>
          <w:p w14:paraId="218E9654">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单位</w:t>
            </w:r>
          </w:p>
          <w:p w14:paraId="3FAEA7C2">
            <w:pPr>
              <w:spacing w:line="380" w:lineRule="exact"/>
              <w:jc w:val="center"/>
              <w:rPr>
                <w:rFonts w:hint="default" w:ascii="华文中宋" w:hAnsi="华文中宋" w:eastAsia="华文中宋"/>
                <w:color w:val="000000"/>
                <w:sz w:val="24"/>
                <w:szCs w:val="24"/>
                <w:lang w:val="en-US" w:eastAsia="zh-CN"/>
              </w:rPr>
            </w:pPr>
            <w:r>
              <w:rPr>
                <w:rFonts w:hint="eastAsia" w:ascii="华文中宋" w:hAnsi="华文中宋" w:eastAsia="华文中宋"/>
                <w:color w:val="000000"/>
                <w:sz w:val="28"/>
                <w:lang w:val="en-US" w:eastAsia="zh-CN"/>
              </w:rPr>
              <w:t>意见</w:t>
            </w:r>
          </w:p>
        </w:tc>
        <w:tc>
          <w:tcPr>
            <w:tcW w:w="8166" w:type="dxa"/>
            <w:gridSpan w:val="13"/>
            <w:tcBorders>
              <w:tl2br w:val="nil"/>
              <w:tr2bl w:val="nil"/>
            </w:tcBorders>
            <w:vAlign w:val="center"/>
          </w:tcPr>
          <w:p w14:paraId="6D16E2B2">
            <w:pPr>
              <w:spacing w:line="240" w:lineRule="exact"/>
              <w:rPr>
                <w:rFonts w:hint="eastAsia" w:ascii="仿宋" w:hAnsi="仿宋" w:eastAsia="仿宋"/>
                <w:b/>
                <w:color w:val="000000"/>
                <w:szCs w:val="21"/>
              </w:rPr>
            </w:pPr>
          </w:p>
          <w:p w14:paraId="0BF4E2D0">
            <w:pPr>
              <w:spacing w:line="240" w:lineRule="exact"/>
              <w:rPr>
                <w:rFonts w:hint="eastAsia" w:ascii="仿宋" w:hAnsi="仿宋" w:eastAsia="仿宋"/>
                <w:b/>
                <w:color w:val="000000"/>
                <w:szCs w:val="21"/>
              </w:rPr>
            </w:pPr>
          </w:p>
          <w:p w14:paraId="72963AF4">
            <w:pPr>
              <w:ind w:firstLine="422"/>
              <w:rPr>
                <w:rFonts w:hint="eastAsia" w:ascii="仿宋" w:hAnsi="仿宋" w:eastAsia="仿宋" w:cs="仿宋"/>
                <w:color w:val="000000"/>
                <w:sz w:val="24"/>
                <w:szCs w:val="18"/>
              </w:rPr>
            </w:pPr>
            <w:r>
              <w:rPr>
                <w:rFonts w:hint="eastAsia" w:ascii="仿宋" w:hAnsi="仿宋" w:eastAsia="仿宋" w:cs="仿宋"/>
                <w:color w:val="000000"/>
                <w:sz w:val="24"/>
                <w:szCs w:val="18"/>
              </w:rPr>
              <w:t>自荐作品由原创单位所在的省级记协、中央新闻单位或中国行业报协会等负责对作品及</w:t>
            </w:r>
            <w:r>
              <w:rPr>
                <w:rFonts w:hint="eastAsia" w:ascii="仿宋" w:hAnsi="仿宋" w:eastAsia="仿宋" w:cs="仿宋"/>
                <w:color w:val="000000"/>
                <w:sz w:val="24"/>
                <w:szCs w:val="18"/>
                <w:lang w:val="en-US" w:eastAsia="zh-CN"/>
              </w:rPr>
              <w:t>申报</w:t>
            </w:r>
            <w:r>
              <w:rPr>
                <w:rFonts w:hint="eastAsia" w:ascii="仿宋" w:hAnsi="仿宋" w:eastAsia="仿宋" w:cs="仿宋"/>
                <w:color w:val="000000"/>
                <w:sz w:val="24"/>
                <w:szCs w:val="18"/>
              </w:rPr>
              <w:t>材料审核把关</w:t>
            </w:r>
            <w:r>
              <w:rPr>
                <w:rFonts w:hint="eastAsia" w:ascii="仿宋" w:hAnsi="仿宋" w:eastAsia="仿宋" w:cs="仿宋"/>
                <w:color w:val="000000"/>
                <w:sz w:val="24"/>
                <w:szCs w:val="18"/>
                <w:lang w:val="en-US" w:eastAsia="zh-CN"/>
              </w:rPr>
              <w:t>并</w:t>
            </w:r>
            <w:r>
              <w:rPr>
                <w:rFonts w:hint="eastAsia" w:ascii="仿宋" w:hAnsi="仿宋" w:eastAsia="仿宋" w:cs="仿宋"/>
                <w:color w:val="000000"/>
                <w:sz w:val="24"/>
                <w:szCs w:val="18"/>
              </w:rPr>
              <w:t>盖</w:t>
            </w:r>
            <w:r>
              <w:rPr>
                <w:rFonts w:hint="eastAsia" w:ascii="仿宋" w:hAnsi="仿宋" w:eastAsia="仿宋" w:cs="仿宋"/>
                <w:color w:val="000000"/>
                <w:sz w:val="24"/>
                <w:szCs w:val="18"/>
                <w:lang w:val="en-US" w:eastAsia="zh-CN"/>
              </w:rPr>
              <w:t>章确认</w:t>
            </w:r>
            <w:r>
              <w:rPr>
                <w:rFonts w:hint="eastAsia" w:ascii="仿宋" w:hAnsi="仿宋" w:eastAsia="仿宋" w:cs="仿宋"/>
                <w:color w:val="000000"/>
                <w:sz w:val="24"/>
                <w:szCs w:val="18"/>
              </w:rPr>
              <w:t>。</w:t>
            </w:r>
          </w:p>
          <w:p w14:paraId="5EFE330D">
            <w:pPr>
              <w:ind w:firstLine="422"/>
              <w:rPr>
                <w:rFonts w:hint="eastAsia" w:ascii="仿宋" w:hAnsi="仿宋" w:eastAsia="仿宋" w:cs="仿宋"/>
                <w:color w:val="000000"/>
                <w:sz w:val="24"/>
                <w:szCs w:val="18"/>
              </w:rPr>
            </w:pPr>
          </w:p>
          <w:p w14:paraId="7BCED045">
            <w:pPr>
              <w:ind w:firstLine="422"/>
              <w:rPr>
                <w:rFonts w:hint="eastAsia" w:ascii="仿宋" w:hAnsi="仿宋" w:eastAsia="仿宋" w:cs="仿宋"/>
                <w:color w:val="000000"/>
                <w:sz w:val="24"/>
                <w:szCs w:val="18"/>
              </w:rPr>
            </w:pPr>
          </w:p>
          <w:p w14:paraId="29B48078">
            <w:pPr>
              <w:ind w:firstLine="3600" w:firstLineChars="1500"/>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加盖单位公章</w:t>
            </w:r>
            <w:r>
              <w:rPr>
                <w:rFonts w:hint="eastAsia" w:ascii="仿宋" w:hAnsi="仿宋" w:eastAsia="仿宋" w:cs="仿宋"/>
                <w:color w:val="000000"/>
                <w:sz w:val="24"/>
                <w:szCs w:val="18"/>
                <w:lang w:eastAsia="zh-CN"/>
              </w:rPr>
              <w:t>）</w:t>
            </w:r>
          </w:p>
          <w:p w14:paraId="645093D2">
            <w:pPr>
              <w:ind w:firstLine="422"/>
              <w:rPr>
                <w:rFonts w:ascii="方正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年   月   日</w:t>
            </w:r>
          </w:p>
        </w:tc>
      </w:tr>
    </w:tbl>
    <w:p w14:paraId="30942D31">
      <w:pPr>
        <w:rPr>
          <w:rFonts w:hint="eastAsia"/>
        </w:rPr>
      </w:pPr>
      <w:r>
        <w:rPr>
          <w:rFonts w:hint="eastAsia" w:ascii="楷体" w:hAnsi="楷体" w:eastAsia="楷体"/>
          <w:color w:val="000000"/>
          <w:sz w:val="28"/>
          <w:szCs w:val="28"/>
        </w:rPr>
        <w:t>此表可从中国记协网www.zgjx.cn下载。</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altName w:val="汉仪书宋二KW"/>
    <w:panose1 w:val="02010601030101010101"/>
    <w:charset w:val="86"/>
    <w:family w:val="script"/>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WMzMmZhMGEzNjFmZGE1ODQ4NDRiY2YxNDQ4YWMifQ=="/>
  </w:docVars>
  <w:rsids>
    <w:rsidRoot w:val="00000000"/>
    <w:rsid w:val="103E4A53"/>
    <w:rsid w:val="291819B2"/>
    <w:rsid w:val="33363900"/>
    <w:rsid w:val="4CA94913"/>
    <w:rsid w:val="5D250E1A"/>
    <w:rsid w:val="6FFDDFCD"/>
    <w:rsid w:val="70CD2B43"/>
    <w:rsid w:val="73F26870"/>
    <w:rsid w:val="767B50AC"/>
    <w:rsid w:val="7FBFA564"/>
    <w:rsid w:val="DFFF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712</Characters>
  <Lines>0</Lines>
  <Paragraphs>0</Paragraphs>
  <TotalTime>309</TotalTime>
  <ScaleCrop>false</ScaleCrop>
  <LinksUpToDate>false</LinksUpToDate>
  <CharactersWithSpaces>763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2026-04-08T06:18:00Z</dcterms:created>
  <dc:creator>EDY</dc:creator>
  <cp:lastModifiedBy>WPS_1559605631</cp:lastModifiedBy>
  <dcterms:modified xsi:type="dcterms:W3CDTF">2026-05-07T12:55:51Z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KSOTemplateDocerSaveRecord">
    <vt:lpwstr>eyJoZGlkIjoiMmM3MDk4MGU2YjgxM2YwYWVlNDEwMjllYzQ2YjQzMmYiLCJ1c2VySWQiOiI2MTY0NjUxODQifQ==</vt:lpwstr>
  </property>
  <property fmtid="{D5CDD505-2E9C-101B-9397-08002B2CF9AE}" pid="4" name="ICV">
    <vt:lpwstr>F40D351B5E7041490AF9FB699A1A6676_43</vt:lpwstr>
  </property>
</Properties>
</file>